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59729" w14:textId="77777777" w:rsidR="00561A71" w:rsidRDefault="00561A71"/>
    <w:p w14:paraId="45E4CBDF" w14:textId="77777777" w:rsidR="004F6BAA" w:rsidRDefault="00561A71" w:rsidP="004F6BAA">
      <w:pPr>
        <w:spacing w:line="240" w:lineRule="auto"/>
        <w:jc w:val="center"/>
        <w:rPr>
          <w:rFonts w:asciiTheme="majorHAnsi" w:hAnsiTheme="majorHAnsi" w:cstheme="majorHAnsi"/>
          <w:b/>
          <w:bCs/>
          <w:color w:val="C00000"/>
          <w:sz w:val="28"/>
          <w:szCs w:val="28"/>
          <w:rtl/>
        </w:rPr>
      </w:pPr>
      <w:r w:rsidRPr="00EB1AC9">
        <w:rPr>
          <w:rFonts w:asciiTheme="majorHAnsi" w:hAnsiTheme="majorHAnsi" w:cstheme="majorHAnsi"/>
          <w:b/>
          <w:bCs/>
          <w:color w:val="C00000"/>
          <w:sz w:val="28"/>
          <w:szCs w:val="28"/>
        </w:rPr>
        <w:t>Communiqué</w:t>
      </w:r>
      <w:r>
        <w:rPr>
          <w:rFonts w:asciiTheme="majorHAnsi" w:hAnsiTheme="majorHAnsi" w:cstheme="majorHAnsi"/>
          <w:b/>
          <w:bCs/>
          <w:color w:val="C00000"/>
          <w:sz w:val="28"/>
          <w:szCs w:val="28"/>
        </w:rPr>
        <w:t xml:space="preserve"> de presse</w:t>
      </w:r>
    </w:p>
    <w:p w14:paraId="756E0AE4" w14:textId="77777777" w:rsidR="005C78A5" w:rsidRPr="004F6BAA" w:rsidRDefault="005C78A5" w:rsidP="004F6BAA">
      <w:pPr>
        <w:spacing w:line="240" w:lineRule="auto"/>
        <w:jc w:val="center"/>
        <w:rPr>
          <w:rFonts w:asciiTheme="majorHAnsi" w:hAnsiTheme="majorHAnsi" w:cstheme="majorHAnsi"/>
          <w:b/>
          <w:bCs/>
          <w:color w:val="C00000"/>
          <w:sz w:val="28"/>
          <w:szCs w:val="28"/>
        </w:rPr>
      </w:pPr>
      <w:r>
        <w:rPr>
          <w:rFonts w:asciiTheme="majorHAnsi" w:hAnsiTheme="majorHAnsi" w:cstheme="majorHAnsi"/>
          <w:b/>
          <w:bCs/>
          <w:sz w:val="28"/>
          <w:szCs w:val="28"/>
        </w:rPr>
        <w:t>Webinaire</w:t>
      </w:r>
    </w:p>
    <w:p w14:paraId="19A4C7B7" w14:textId="77777777" w:rsidR="00561A71" w:rsidRDefault="00561A71" w:rsidP="00561A71">
      <w:pPr>
        <w:jc w:val="center"/>
        <w:rPr>
          <w:rFonts w:asciiTheme="majorHAnsi" w:hAnsiTheme="majorHAnsi" w:cstheme="majorHAnsi"/>
          <w:b/>
          <w:bCs/>
          <w:color w:val="833C0B" w:themeColor="accent2" w:themeShade="80"/>
          <w:sz w:val="28"/>
          <w:szCs w:val="28"/>
        </w:rPr>
      </w:pPr>
      <w:r>
        <w:rPr>
          <w:rFonts w:asciiTheme="majorHAnsi" w:hAnsiTheme="majorHAnsi" w:cstheme="majorHAnsi"/>
          <w:b/>
          <w:bCs/>
          <w:color w:val="833C0B" w:themeColor="accent2" w:themeShade="80"/>
          <w:sz w:val="28"/>
          <w:szCs w:val="28"/>
        </w:rPr>
        <w:t>La gouvernance des établissements scolaires – Déterminants et évaluation</w:t>
      </w:r>
    </w:p>
    <w:p w14:paraId="618E66C2" w14:textId="77777777" w:rsidR="00561A71" w:rsidRPr="00EB1AC9" w:rsidRDefault="00561A71" w:rsidP="00561A71">
      <w:pPr>
        <w:jc w:val="center"/>
        <w:rPr>
          <w:rFonts w:asciiTheme="majorHAnsi" w:hAnsiTheme="majorHAnsi" w:cstheme="majorHAnsi"/>
          <w:b/>
          <w:bCs/>
        </w:rPr>
      </w:pPr>
      <w:r w:rsidRPr="00EB1AC9">
        <w:rPr>
          <w:rFonts w:asciiTheme="majorHAnsi" w:hAnsiTheme="majorHAnsi" w:cstheme="majorHAnsi"/>
          <w:b/>
          <w:bCs/>
        </w:rPr>
        <w:t>2</w:t>
      </w:r>
      <w:r>
        <w:rPr>
          <w:rFonts w:asciiTheme="majorHAnsi" w:hAnsiTheme="majorHAnsi" w:cstheme="majorHAnsi"/>
          <w:b/>
          <w:bCs/>
        </w:rPr>
        <w:t>3-24</w:t>
      </w:r>
      <w:r w:rsidRPr="00EB1AC9">
        <w:rPr>
          <w:rFonts w:asciiTheme="majorHAnsi" w:hAnsiTheme="majorHAnsi" w:cstheme="majorHAnsi"/>
          <w:b/>
          <w:bCs/>
        </w:rPr>
        <w:t xml:space="preserve"> </w:t>
      </w:r>
      <w:r>
        <w:rPr>
          <w:rFonts w:asciiTheme="majorHAnsi" w:hAnsiTheme="majorHAnsi" w:cstheme="majorHAnsi"/>
          <w:b/>
          <w:bCs/>
        </w:rPr>
        <w:t>novembre</w:t>
      </w:r>
      <w:r w:rsidRPr="00EB1AC9">
        <w:rPr>
          <w:rFonts w:asciiTheme="majorHAnsi" w:hAnsiTheme="majorHAnsi" w:cstheme="majorHAnsi"/>
          <w:b/>
          <w:bCs/>
        </w:rPr>
        <w:t xml:space="preserve"> 2021</w:t>
      </w:r>
    </w:p>
    <w:p w14:paraId="2F0911EB" w14:textId="77777777" w:rsidR="00561A71" w:rsidRDefault="00561A71" w:rsidP="00561A71"/>
    <w:p w14:paraId="0A013E5D" w14:textId="28959B98" w:rsidR="00561A71" w:rsidRPr="005C78A5" w:rsidRDefault="00561A71" w:rsidP="005C78A5">
      <w:pPr>
        <w:spacing w:line="360" w:lineRule="auto"/>
        <w:jc w:val="both"/>
        <w:rPr>
          <w:rFonts w:asciiTheme="majorHAnsi" w:hAnsiTheme="majorHAnsi" w:cstheme="majorHAnsi"/>
          <w:sz w:val="24"/>
          <w:szCs w:val="24"/>
        </w:rPr>
      </w:pPr>
      <w:r w:rsidRPr="005C78A5">
        <w:rPr>
          <w:rFonts w:asciiTheme="majorHAnsi" w:hAnsiTheme="majorHAnsi" w:cstheme="majorHAnsi"/>
          <w:sz w:val="24"/>
          <w:szCs w:val="24"/>
        </w:rPr>
        <w:t>L’Instance Nationale d’Évaluation auprès du Conseil Supérieur de l’Éducation, de la Formation et de la Recherche Scientifique (INE-CSEFRS), organi</w:t>
      </w:r>
      <w:r w:rsidR="0065763E">
        <w:rPr>
          <w:rFonts w:asciiTheme="majorHAnsi" w:hAnsiTheme="majorHAnsi" w:cstheme="majorHAnsi"/>
          <w:sz w:val="24"/>
          <w:szCs w:val="24"/>
        </w:rPr>
        <w:t>se,</w:t>
      </w:r>
      <w:r w:rsidR="00160101">
        <w:rPr>
          <w:rFonts w:asciiTheme="majorHAnsi" w:hAnsiTheme="majorHAnsi" w:cstheme="majorHAnsi" w:hint="cs"/>
          <w:sz w:val="24"/>
          <w:szCs w:val="24"/>
          <w:rtl/>
        </w:rPr>
        <w:t xml:space="preserve"> </w:t>
      </w:r>
      <w:r w:rsidR="00160101" w:rsidRPr="00160101">
        <w:rPr>
          <w:rFonts w:asciiTheme="majorHAnsi" w:hAnsiTheme="majorHAnsi" w:cstheme="majorHAnsi"/>
          <w:sz w:val="24"/>
          <w:szCs w:val="24"/>
        </w:rPr>
        <w:t>en partenariat avec l’UNICEF</w:t>
      </w:r>
      <w:r w:rsidRPr="005C78A5">
        <w:rPr>
          <w:rFonts w:asciiTheme="majorHAnsi" w:hAnsiTheme="majorHAnsi" w:cstheme="majorHAnsi"/>
          <w:sz w:val="24"/>
          <w:szCs w:val="24"/>
        </w:rPr>
        <w:t xml:space="preserve">, les </w:t>
      </w:r>
      <w:r w:rsidRPr="005C78A5">
        <w:rPr>
          <w:rFonts w:asciiTheme="majorHAnsi" w:hAnsiTheme="majorHAnsi" w:cstheme="majorHAnsi"/>
          <w:b/>
          <w:bCs/>
          <w:sz w:val="24"/>
          <w:szCs w:val="24"/>
        </w:rPr>
        <w:t>23 et 24 novembre 2021</w:t>
      </w:r>
      <w:r w:rsidRPr="005C78A5">
        <w:rPr>
          <w:rFonts w:asciiTheme="majorHAnsi" w:hAnsiTheme="majorHAnsi" w:cstheme="majorHAnsi"/>
          <w:sz w:val="24"/>
          <w:szCs w:val="24"/>
        </w:rPr>
        <w:t xml:space="preserve">, un </w:t>
      </w:r>
      <w:r w:rsidR="005C78A5" w:rsidRPr="005C78A5">
        <w:rPr>
          <w:rFonts w:asciiTheme="majorHAnsi" w:hAnsiTheme="majorHAnsi" w:cstheme="majorHAnsi"/>
          <w:sz w:val="24"/>
          <w:szCs w:val="24"/>
        </w:rPr>
        <w:t>webinaire</w:t>
      </w:r>
      <w:r w:rsidRPr="005C78A5">
        <w:rPr>
          <w:rFonts w:asciiTheme="majorHAnsi" w:hAnsiTheme="majorHAnsi" w:cstheme="majorHAnsi"/>
          <w:sz w:val="24"/>
          <w:szCs w:val="24"/>
        </w:rPr>
        <w:t xml:space="preserve"> international à distance portant sur </w:t>
      </w:r>
      <w:r w:rsidRPr="005C78A5">
        <w:rPr>
          <w:rFonts w:asciiTheme="majorHAnsi" w:hAnsiTheme="majorHAnsi" w:cstheme="majorHAnsi"/>
          <w:b/>
          <w:bCs/>
          <w:sz w:val="24"/>
          <w:szCs w:val="24"/>
        </w:rPr>
        <w:t>« La gouvernance des établissements scolaires : Déterminants et évaluation »</w:t>
      </w:r>
      <w:r w:rsidRPr="005C78A5">
        <w:rPr>
          <w:rFonts w:asciiTheme="majorHAnsi" w:hAnsiTheme="majorHAnsi" w:cstheme="majorHAnsi"/>
          <w:sz w:val="24"/>
          <w:szCs w:val="24"/>
        </w:rPr>
        <w:t>.</w:t>
      </w:r>
    </w:p>
    <w:p w14:paraId="6CC22F07" w14:textId="77777777" w:rsidR="00561A71" w:rsidRPr="005C78A5" w:rsidRDefault="00561A71" w:rsidP="00A413C3">
      <w:pPr>
        <w:spacing w:line="360" w:lineRule="auto"/>
        <w:jc w:val="both"/>
        <w:rPr>
          <w:rFonts w:asciiTheme="majorHAnsi" w:hAnsiTheme="majorHAnsi" w:cstheme="majorHAnsi"/>
          <w:sz w:val="24"/>
          <w:szCs w:val="24"/>
        </w:rPr>
      </w:pPr>
      <w:r w:rsidRPr="005C78A5">
        <w:rPr>
          <w:rFonts w:asciiTheme="majorHAnsi" w:hAnsiTheme="majorHAnsi" w:cstheme="majorHAnsi"/>
          <w:sz w:val="24"/>
          <w:szCs w:val="24"/>
        </w:rPr>
        <w:t xml:space="preserve">L’objectif du </w:t>
      </w:r>
      <w:r w:rsidR="00A413C3">
        <w:rPr>
          <w:rFonts w:asciiTheme="majorHAnsi" w:hAnsiTheme="majorHAnsi" w:cstheme="majorHAnsi"/>
          <w:sz w:val="24"/>
          <w:szCs w:val="24"/>
        </w:rPr>
        <w:t>webinaire</w:t>
      </w:r>
      <w:r w:rsidRPr="005C78A5">
        <w:rPr>
          <w:rFonts w:asciiTheme="majorHAnsi" w:hAnsiTheme="majorHAnsi" w:cstheme="majorHAnsi"/>
          <w:sz w:val="24"/>
          <w:szCs w:val="24"/>
        </w:rPr>
        <w:t xml:space="preserve"> est de présenter et confronter les divers modes de gouvernance des établissements scolaires et déterminer en quoi et comment ils répondent à l’exigence d’une amélioration significative de la performance du système éducatif dans notre pays.</w:t>
      </w:r>
    </w:p>
    <w:p w14:paraId="7093170D" w14:textId="77777777" w:rsidR="005C78A5" w:rsidRPr="005C78A5" w:rsidRDefault="005C78A5" w:rsidP="00A413C3">
      <w:pPr>
        <w:spacing w:line="360" w:lineRule="auto"/>
        <w:jc w:val="both"/>
        <w:rPr>
          <w:rFonts w:asciiTheme="majorHAnsi" w:hAnsiTheme="majorHAnsi" w:cstheme="majorHAnsi"/>
          <w:sz w:val="24"/>
          <w:szCs w:val="24"/>
        </w:rPr>
      </w:pPr>
      <w:r w:rsidRPr="005C78A5">
        <w:rPr>
          <w:rFonts w:asciiTheme="majorHAnsi" w:hAnsiTheme="majorHAnsi" w:cstheme="majorHAnsi"/>
          <w:sz w:val="24"/>
          <w:szCs w:val="24"/>
        </w:rPr>
        <w:t xml:space="preserve">Prendront part à ce </w:t>
      </w:r>
      <w:r w:rsidR="00A413C3">
        <w:rPr>
          <w:rFonts w:asciiTheme="majorHAnsi" w:hAnsiTheme="majorHAnsi" w:cstheme="majorHAnsi"/>
          <w:sz w:val="24"/>
          <w:szCs w:val="24"/>
        </w:rPr>
        <w:t>webinaire</w:t>
      </w:r>
      <w:r w:rsidRPr="005C78A5">
        <w:rPr>
          <w:rFonts w:asciiTheme="majorHAnsi" w:hAnsiTheme="majorHAnsi" w:cstheme="majorHAnsi"/>
          <w:sz w:val="24"/>
          <w:szCs w:val="24"/>
        </w:rPr>
        <w:t xml:space="preserve"> des experts et spécialistes nationaux et internationaux œuvrant dans le domaine de l’éducation, ainsi que des représentants d’organisations internationales, qui discuteront et échangeront le temps des deux sessions du webinaire sur les déterminants de la gouvernance scolaire et les enjeux de son évaluation, à travers trois axes principaux : l’apport de la recherche internationale et de la comparaison entre les différentes expériences sur le rôle de l’établissement dans le système éducatif ; le rôle des acteurs et des parties prenantes dans le fonctionnement de l’établissement ; et les dispositifs et les instruments d’évaluation de l’établissement.</w:t>
      </w:r>
    </w:p>
    <w:p w14:paraId="55E84322" w14:textId="77777777" w:rsidR="004F6BAA" w:rsidRDefault="00561A71" w:rsidP="004F6BAA">
      <w:pPr>
        <w:spacing w:line="360" w:lineRule="auto"/>
        <w:jc w:val="both"/>
        <w:rPr>
          <w:rFonts w:asciiTheme="majorHAnsi" w:hAnsiTheme="majorHAnsi" w:cstheme="majorHAnsi"/>
          <w:sz w:val="24"/>
          <w:szCs w:val="24"/>
          <w:rtl/>
        </w:rPr>
      </w:pPr>
      <w:r w:rsidRPr="005C78A5">
        <w:rPr>
          <w:rFonts w:asciiTheme="majorHAnsi" w:hAnsiTheme="majorHAnsi" w:cstheme="majorHAnsi"/>
          <w:sz w:val="24"/>
          <w:szCs w:val="24"/>
        </w:rPr>
        <w:t xml:space="preserve">Les travaux du </w:t>
      </w:r>
      <w:r w:rsidR="005C78A5" w:rsidRPr="005C78A5">
        <w:rPr>
          <w:rFonts w:asciiTheme="majorHAnsi" w:hAnsiTheme="majorHAnsi" w:cstheme="majorHAnsi"/>
          <w:sz w:val="24"/>
          <w:szCs w:val="24"/>
        </w:rPr>
        <w:t>webinaire</w:t>
      </w:r>
      <w:r w:rsidRPr="005C78A5">
        <w:rPr>
          <w:rFonts w:asciiTheme="majorHAnsi" w:hAnsiTheme="majorHAnsi" w:cstheme="majorHAnsi"/>
          <w:sz w:val="24"/>
          <w:szCs w:val="24"/>
        </w:rPr>
        <w:t xml:space="preserve"> présenteront l’état de l’art et les tendances internationales en matière de gouvernance des établissements scolaires par des exposés de résultats récents de la recherche académique et des retours d’expériences relatives aux pratiques les plus avancées ; une réflexion collective avec les décideurs, les acteurs du système éducatif marocain et étrangers ainsi que les experts (tes) sur les facteurs liés à l’établissement qui entravent ou favorisent l’autonomie des établissements scolaires et delà la qualité de l’éducation ; et un débat autour des modes d’évaluation de la gouvernance scolaire et la place des acteurs en ce processus d’évaluation. </w:t>
      </w:r>
    </w:p>
    <w:p w14:paraId="4A646178" w14:textId="77777777" w:rsidR="00CD2D04" w:rsidRDefault="00CD2D04" w:rsidP="00CD2D04">
      <w:pPr>
        <w:spacing w:line="360" w:lineRule="auto"/>
        <w:jc w:val="both"/>
        <w:rPr>
          <w:rFonts w:asciiTheme="majorHAnsi" w:hAnsiTheme="majorHAnsi" w:cstheme="majorHAnsi"/>
          <w:sz w:val="24"/>
          <w:szCs w:val="24"/>
        </w:rPr>
      </w:pPr>
      <w:r>
        <w:rPr>
          <w:rFonts w:asciiTheme="majorHAnsi" w:hAnsiTheme="majorHAnsi" w:cstheme="majorHAnsi"/>
          <w:sz w:val="24"/>
          <w:szCs w:val="24"/>
        </w:rPr>
        <w:lastRenderedPageBreak/>
        <w:t xml:space="preserve">Pour plus d’information sur le webinaire : </w:t>
      </w:r>
    </w:p>
    <w:p w14:paraId="07FC0493" w14:textId="77777777" w:rsidR="00CD2D04" w:rsidRDefault="00CD2D04" w:rsidP="00CD2D04">
      <w:pPr>
        <w:pStyle w:val="Paragraphedeliste"/>
        <w:numPr>
          <w:ilvl w:val="0"/>
          <w:numId w:val="1"/>
        </w:numPr>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vous pouvez consulter le site web du colloque (argumentaire, programme, intervenants, etc.), disponible en trois langues : </w:t>
      </w:r>
    </w:p>
    <w:p w14:paraId="6A4835EB" w14:textId="77777777" w:rsidR="00CD2D04" w:rsidRDefault="00A11736" w:rsidP="00CD2D04">
      <w:pPr>
        <w:pStyle w:val="Paragraphedeliste"/>
        <w:spacing w:line="360" w:lineRule="auto"/>
        <w:jc w:val="both"/>
        <w:rPr>
          <w:rFonts w:asciiTheme="majorHAnsi" w:hAnsiTheme="majorHAnsi" w:cstheme="majorHAnsi"/>
          <w:sz w:val="24"/>
          <w:szCs w:val="24"/>
        </w:rPr>
      </w:pPr>
      <w:hyperlink r:id="rId7" w:history="1">
        <w:r w:rsidR="00CD2D04" w:rsidRPr="000200D5">
          <w:rPr>
            <w:rStyle w:val="Lienhypertexte"/>
            <w:rFonts w:asciiTheme="majorHAnsi" w:hAnsiTheme="majorHAnsi" w:cstheme="majorHAnsi"/>
            <w:sz w:val="24"/>
            <w:szCs w:val="24"/>
          </w:rPr>
          <w:t>https://webinairegouvernance.csefrs.ma/</w:t>
        </w:r>
      </w:hyperlink>
    </w:p>
    <w:p w14:paraId="6F497340" w14:textId="77777777" w:rsidR="00CD2D04" w:rsidRPr="00CD2D04" w:rsidRDefault="00CD2D04" w:rsidP="00CD2D04">
      <w:pPr>
        <w:pStyle w:val="Paragraphedeliste"/>
        <w:numPr>
          <w:ilvl w:val="0"/>
          <w:numId w:val="1"/>
        </w:numPr>
        <w:spacing w:line="360" w:lineRule="auto"/>
        <w:jc w:val="both"/>
        <w:rPr>
          <w:rFonts w:asciiTheme="majorHAnsi" w:hAnsiTheme="majorHAnsi" w:cstheme="majorHAnsi"/>
          <w:sz w:val="24"/>
          <w:szCs w:val="24"/>
          <w:rtl/>
        </w:rPr>
      </w:pPr>
      <w:r>
        <w:rPr>
          <w:rFonts w:asciiTheme="majorHAnsi" w:hAnsiTheme="majorHAnsi" w:cstheme="majorHAnsi"/>
          <w:sz w:val="24"/>
          <w:szCs w:val="24"/>
        </w:rPr>
        <w:t xml:space="preserve">suivre le direct du colloque via la même adresse web.   </w:t>
      </w:r>
    </w:p>
    <w:p w14:paraId="6FD75A41" w14:textId="77777777" w:rsidR="00561A71" w:rsidRPr="004F6BAA" w:rsidRDefault="00561A71" w:rsidP="004F6BAA">
      <w:pPr>
        <w:spacing w:line="360" w:lineRule="auto"/>
        <w:jc w:val="both"/>
        <w:rPr>
          <w:rFonts w:asciiTheme="majorHAnsi" w:hAnsiTheme="majorHAnsi" w:cstheme="majorHAnsi"/>
          <w:sz w:val="24"/>
          <w:szCs w:val="24"/>
        </w:rPr>
      </w:pPr>
      <w:r w:rsidRPr="00C17DBF">
        <w:rPr>
          <w:rFonts w:asciiTheme="majorHAnsi" w:hAnsiTheme="majorHAnsi" w:cstheme="majorHAnsi"/>
          <w:b/>
          <w:bCs/>
        </w:rPr>
        <w:t xml:space="preserve">Contact presse : </w:t>
      </w:r>
    </w:p>
    <w:p w14:paraId="33AE6121" w14:textId="77777777" w:rsidR="00561A71" w:rsidRDefault="00A11736" w:rsidP="00561A71">
      <w:pPr>
        <w:spacing w:line="240" w:lineRule="auto"/>
        <w:jc w:val="both"/>
        <w:rPr>
          <w:rFonts w:asciiTheme="majorHAnsi" w:hAnsiTheme="majorHAnsi" w:cstheme="majorHAnsi"/>
        </w:rPr>
      </w:pPr>
      <w:hyperlink r:id="rId8" w:history="1">
        <w:r w:rsidR="00561A71" w:rsidRPr="00497325">
          <w:rPr>
            <w:rStyle w:val="Lienhypertexte"/>
            <w:rFonts w:asciiTheme="majorHAnsi" w:hAnsiTheme="majorHAnsi" w:cstheme="majorHAnsi"/>
          </w:rPr>
          <w:t>communication@csefrs.ma</w:t>
        </w:r>
      </w:hyperlink>
    </w:p>
    <w:p w14:paraId="43D11005" w14:textId="77777777" w:rsidR="00561A71" w:rsidRPr="00EB1AC9" w:rsidRDefault="00561A71" w:rsidP="00561A71">
      <w:pPr>
        <w:spacing w:line="240" w:lineRule="auto"/>
        <w:jc w:val="both"/>
        <w:rPr>
          <w:rFonts w:asciiTheme="majorHAnsi" w:hAnsiTheme="majorHAnsi" w:cstheme="majorHAnsi"/>
        </w:rPr>
      </w:pPr>
      <w:r>
        <w:rPr>
          <w:rFonts w:asciiTheme="majorHAnsi" w:hAnsiTheme="majorHAnsi" w:cstheme="majorHAnsi"/>
        </w:rPr>
        <w:t>+212537774425</w:t>
      </w:r>
    </w:p>
    <w:p w14:paraId="46607246" w14:textId="77777777" w:rsidR="00561A71" w:rsidRDefault="00561A71" w:rsidP="00561A71">
      <w:pPr>
        <w:spacing w:line="360" w:lineRule="auto"/>
        <w:jc w:val="both"/>
        <w:rPr>
          <w:rFonts w:asciiTheme="majorHAnsi" w:hAnsiTheme="majorHAnsi" w:cstheme="majorHAnsi"/>
        </w:rPr>
      </w:pPr>
    </w:p>
    <w:p w14:paraId="7D0CB4D4" w14:textId="77777777" w:rsidR="00561A71" w:rsidRDefault="00561A71" w:rsidP="00561A71">
      <w:pPr>
        <w:spacing w:line="360" w:lineRule="auto"/>
        <w:jc w:val="both"/>
      </w:pPr>
    </w:p>
    <w:p w14:paraId="6B821B34" w14:textId="77777777" w:rsidR="00561A71" w:rsidRDefault="00561A71" w:rsidP="00561A71"/>
    <w:p w14:paraId="795A9332" w14:textId="77777777" w:rsidR="00561A71" w:rsidRDefault="00561A71"/>
    <w:sectPr w:rsidR="00561A71" w:rsidSect="00B61AE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36574" w14:textId="77777777" w:rsidR="00A11736" w:rsidRDefault="00A11736" w:rsidP="00561A71">
      <w:pPr>
        <w:spacing w:after="0" w:line="240" w:lineRule="auto"/>
      </w:pPr>
      <w:r>
        <w:separator/>
      </w:r>
    </w:p>
  </w:endnote>
  <w:endnote w:type="continuationSeparator" w:id="0">
    <w:p w14:paraId="318ABAC8" w14:textId="77777777" w:rsidR="00A11736" w:rsidRDefault="00A11736" w:rsidP="00561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D9C1F" w14:textId="77777777" w:rsidR="00A11736" w:rsidRDefault="00A11736" w:rsidP="00561A71">
      <w:pPr>
        <w:spacing w:after="0" w:line="240" w:lineRule="auto"/>
      </w:pPr>
      <w:r>
        <w:separator/>
      </w:r>
    </w:p>
  </w:footnote>
  <w:footnote w:type="continuationSeparator" w:id="0">
    <w:p w14:paraId="0CB467A7" w14:textId="77777777" w:rsidR="00A11736" w:rsidRDefault="00A11736" w:rsidP="00561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0E974" w14:textId="77777777" w:rsidR="00561A71" w:rsidRDefault="00561A71" w:rsidP="00561A71">
    <w:pPr>
      <w:pStyle w:val="En-tte"/>
      <w:jc w:val="center"/>
    </w:pPr>
    <w:r w:rsidRPr="00B12E91">
      <w:rPr>
        <w:rFonts w:ascii="Times New Roman" w:eastAsia="Times New Roman" w:hAnsi="Times New Roman" w:cs="Times New Roman"/>
        <w:noProof/>
        <w:lang w:eastAsia="fr-FR"/>
      </w:rPr>
      <w:drawing>
        <wp:inline distT="0" distB="0" distL="0" distR="0" wp14:anchorId="5489DB99" wp14:editId="47BA6242">
          <wp:extent cx="3276132" cy="687705"/>
          <wp:effectExtent l="0" t="0" r="635" b="0"/>
          <wp:docPr id="1" name="Image 1" descr="ندوة دولية عن بعد في موضوع حكامة المؤسسات التعليمية: المحددات والتقييم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دوة دولية عن بعد في موضوع حكامة المؤسسات التعليمية: المحددات والتقييم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44006"/>
                  <a:stretch/>
                </pic:blipFill>
                <pic:spPr bwMode="auto">
                  <a:xfrm>
                    <a:off x="0" y="0"/>
                    <a:ext cx="3276132" cy="687705"/>
                  </a:xfrm>
                  <a:prstGeom prst="rect">
                    <a:avLst/>
                  </a:prstGeom>
                  <a:noFill/>
                  <a:ln>
                    <a:noFill/>
                  </a:ln>
                  <a:extLst>
                    <a:ext uri="{53640926-AAD7-44D8-BBD7-CCE9431645EC}">
                      <a14:shadowObscured xmlns:a14="http://schemas.microsoft.com/office/drawing/2010/main"/>
                    </a:ext>
                  </a:extLst>
                </pic:spPr>
              </pic:pic>
            </a:graphicData>
          </a:graphic>
        </wp:inline>
      </w:drawing>
    </w:r>
  </w:p>
  <w:p w14:paraId="6F18DC42" w14:textId="77777777" w:rsidR="00561A71" w:rsidRDefault="00561A7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D510A"/>
    <w:multiLevelType w:val="hybridMultilevel"/>
    <w:tmpl w:val="8BD4E5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A71"/>
    <w:rsid w:val="0001031B"/>
    <w:rsid w:val="001230A8"/>
    <w:rsid w:val="00160101"/>
    <w:rsid w:val="001D4BD3"/>
    <w:rsid w:val="003568AE"/>
    <w:rsid w:val="004F6BAA"/>
    <w:rsid w:val="00561A71"/>
    <w:rsid w:val="005C78A5"/>
    <w:rsid w:val="0065763E"/>
    <w:rsid w:val="006913DE"/>
    <w:rsid w:val="006A79D9"/>
    <w:rsid w:val="009C4E1D"/>
    <w:rsid w:val="00A11736"/>
    <w:rsid w:val="00A413C3"/>
    <w:rsid w:val="00B61AE7"/>
    <w:rsid w:val="00C36620"/>
    <w:rsid w:val="00CD2D0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97E65"/>
  <w15:chartTrackingRefBased/>
  <w15:docId w15:val="{8980095A-D868-46D6-8117-8A1F9AD6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61A71"/>
    <w:rPr>
      <w:color w:val="0563C1" w:themeColor="hyperlink"/>
      <w:u w:val="single"/>
    </w:rPr>
  </w:style>
  <w:style w:type="paragraph" w:styleId="Paragraphedeliste">
    <w:name w:val="List Paragraph"/>
    <w:basedOn w:val="Normal"/>
    <w:uiPriority w:val="34"/>
    <w:qFormat/>
    <w:rsid w:val="00561A71"/>
    <w:pPr>
      <w:ind w:left="720"/>
      <w:contextualSpacing/>
    </w:pPr>
  </w:style>
  <w:style w:type="paragraph" w:styleId="En-tte">
    <w:name w:val="header"/>
    <w:basedOn w:val="Normal"/>
    <w:link w:val="En-tteCar"/>
    <w:uiPriority w:val="99"/>
    <w:unhideWhenUsed/>
    <w:rsid w:val="00561A71"/>
    <w:pPr>
      <w:tabs>
        <w:tab w:val="center" w:pos="4536"/>
        <w:tab w:val="right" w:pos="9072"/>
      </w:tabs>
      <w:spacing w:after="0" w:line="240" w:lineRule="auto"/>
    </w:pPr>
  </w:style>
  <w:style w:type="character" w:customStyle="1" w:styleId="En-tteCar">
    <w:name w:val="En-tête Car"/>
    <w:basedOn w:val="Policepardfaut"/>
    <w:link w:val="En-tte"/>
    <w:uiPriority w:val="99"/>
    <w:rsid w:val="00561A71"/>
  </w:style>
  <w:style w:type="paragraph" w:styleId="Pieddepage">
    <w:name w:val="footer"/>
    <w:basedOn w:val="Normal"/>
    <w:link w:val="PieddepageCar"/>
    <w:uiPriority w:val="99"/>
    <w:unhideWhenUsed/>
    <w:rsid w:val="00561A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1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13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csefrs.ma" TargetMode="External"/><Relationship Id="rId3" Type="http://schemas.openxmlformats.org/officeDocument/2006/relationships/settings" Target="settings.xml"/><Relationship Id="rId7" Type="http://schemas.openxmlformats.org/officeDocument/2006/relationships/hyperlink" Target="https://webinairegouvernance.csefrs.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386</Words>
  <Characters>2129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BERRAHOU</dc:creator>
  <cp:keywords/>
  <dc:description/>
  <cp:lastModifiedBy>Mohammed JBILOU</cp:lastModifiedBy>
  <cp:revision>8</cp:revision>
  <dcterms:created xsi:type="dcterms:W3CDTF">2021-11-19T11:06:00Z</dcterms:created>
  <dcterms:modified xsi:type="dcterms:W3CDTF">2021-11-19T16:26:00Z</dcterms:modified>
</cp:coreProperties>
</file>